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1E" w:rsidRDefault="00DA35EE" w:rsidP="00C93A1E">
      <w:pPr>
        <w:pStyle w:val="af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основных показателях финансово-хозяйственной </w:t>
      </w:r>
    </w:p>
    <w:p w:rsidR="009B14BF" w:rsidRDefault="00C93A1E" w:rsidP="009B14BF">
      <w:pPr>
        <w:pStyle w:val="aff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A35EE">
        <w:rPr>
          <w:rFonts w:ascii="Times New Roman" w:hAnsi="Times New Roman" w:cs="Times New Roman"/>
          <w:b/>
          <w:bCs/>
          <w:sz w:val="28"/>
          <w:szCs w:val="28"/>
        </w:rPr>
        <w:t>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5EE">
        <w:rPr>
          <w:rFonts w:ascii="Times New Roman" w:hAnsi="Times New Roman" w:cs="Times New Roman"/>
          <w:b/>
          <w:bCs/>
          <w:sz w:val="28"/>
          <w:szCs w:val="28"/>
        </w:rPr>
        <w:t>ООО</w:t>
      </w:r>
      <w:r w:rsidR="00BF46C4">
        <w:rPr>
          <w:rFonts w:ascii="Times New Roman" w:hAnsi="Times New Roman" w:cs="Times New Roman"/>
          <w:b/>
          <w:bCs/>
          <w:sz w:val="28"/>
          <w:szCs w:val="28"/>
        </w:rPr>
        <w:t xml:space="preserve"> «Контракт плюс</w:t>
      </w:r>
      <w:r w:rsidR="00DA35E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B7558">
        <w:rPr>
          <w:rFonts w:ascii="Times New Roman" w:hAnsi="Times New Roman" w:cs="Times New Roman"/>
          <w:b/>
          <w:bCs/>
          <w:sz w:val="28"/>
          <w:szCs w:val="28"/>
        </w:rPr>
        <w:t xml:space="preserve"> за 2014 г.</w:t>
      </w:r>
      <w:r w:rsidR="00DA35EE">
        <w:rPr>
          <w:rFonts w:ascii="Times New Roman" w:hAnsi="Times New Roman" w:cs="Times New Roman"/>
          <w:b/>
          <w:bCs/>
          <w:sz w:val="28"/>
          <w:szCs w:val="28"/>
        </w:rPr>
        <w:t>, включая структуру основных производственных</w:t>
      </w:r>
      <w:r w:rsidR="009B1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5EE">
        <w:rPr>
          <w:rFonts w:ascii="Times New Roman" w:hAnsi="Times New Roman" w:cs="Times New Roman"/>
          <w:b/>
          <w:bCs/>
          <w:sz w:val="28"/>
          <w:szCs w:val="28"/>
        </w:rPr>
        <w:t>затрат (в части регулируемой деятельности), учтённых при установлении</w:t>
      </w:r>
      <w:r w:rsidR="009B1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5EE">
        <w:rPr>
          <w:rFonts w:ascii="Times New Roman" w:hAnsi="Times New Roman" w:cs="Times New Roman"/>
          <w:b/>
          <w:bCs/>
          <w:sz w:val="28"/>
          <w:szCs w:val="28"/>
        </w:rPr>
        <w:t xml:space="preserve">тарифа на услуги по утилизации (захоронению) твёрдых бытовых отходов приказом Министерства экономики и планирования </w:t>
      </w:r>
    </w:p>
    <w:p w:rsidR="009E63E9" w:rsidRDefault="009B14BF" w:rsidP="009B14BF">
      <w:pPr>
        <w:pStyle w:val="aff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DA35EE">
        <w:rPr>
          <w:rFonts w:ascii="Times New Roman" w:hAnsi="Times New Roman" w:cs="Times New Roman"/>
          <w:b/>
          <w:bCs/>
          <w:sz w:val="28"/>
          <w:szCs w:val="28"/>
        </w:rPr>
        <w:t>Ульяновской области № 06-279 от 13.08.2013</w:t>
      </w:r>
    </w:p>
    <w:p w:rsidR="00B80F03" w:rsidRPr="00B80F03" w:rsidRDefault="00B80F03" w:rsidP="00B80F03"/>
    <w:p w:rsidR="00DA35EE" w:rsidRPr="00DA35EE" w:rsidRDefault="00DA35EE" w:rsidP="00DA35EE"/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694"/>
        <w:gridCol w:w="1292"/>
        <w:gridCol w:w="1656"/>
      </w:tblGrid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357A64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4" w:type="dxa"/>
            <w:vAlign w:val="center"/>
          </w:tcPr>
          <w:p w:rsidR="00357A64" w:rsidRPr="006D1664" w:rsidRDefault="00357A64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357A64" w:rsidRPr="006D1664" w:rsidRDefault="00357A64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6" w:type="dxa"/>
            <w:vAlign w:val="center"/>
          </w:tcPr>
          <w:p w:rsidR="00357A64" w:rsidRPr="006D1664" w:rsidRDefault="00357A64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4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94" w:type="dxa"/>
            <w:vAlign w:val="center"/>
          </w:tcPr>
          <w:p w:rsidR="00357A64" w:rsidRPr="006D1664" w:rsidRDefault="00714DF6" w:rsidP="00AF2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A3845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 регулируемой деятельности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6" w:type="dxa"/>
            <w:vAlign w:val="center"/>
          </w:tcPr>
          <w:p w:rsidR="00357A64" w:rsidRPr="006D1664" w:rsidRDefault="00DA35EE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Утилизация (захоронение) твёрдых б</w:t>
            </w: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товых отх</w:t>
            </w: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94" w:type="dxa"/>
            <w:vAlign w:val="center"/>
          </w:tcPr>
          <w:p w:rsidR="00357A64" w:rsidRPr="006D1664" w:rsidRDefault="00714DF6" w:rsidP="00AF2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A3845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ыручка от регулируемой деятельности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D94DB2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34 279,44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94" w:type="dxa"/>
            <w:vAlign w:val="center"/>
          </w:tcPr>
          <w:p w:rsidR="00357A64" w:rsidRPr="006D1664" w:rsidRDefault="00714DF6" w:rsidP="00AF2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1A3845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ебестоимость оказываемых услуг по регулируемому виду деятельности, включающей: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AA171B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361726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61726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96,39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94" w:type="dxa"/>
            <w:vAlign w:val="center"/>
          </w:tcPr>
          <w:p w:rsidR="00357A64" w:rsidRPr="006D1664" w:rsidRDefault="001A3845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  <w:r w:rsidR="005D15B5" w:rsidRPr="006D166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производственного перс</w:t>
            </w:r>
            <w:r w:rsidR="005D15B5" w:rsidRPr="006D1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15B5" w:rsidRPr="006D1664">
              <w:rPr>
                <w:rFonts w:ascii="Times New Roman" w:hAnsi="Times New Roman" w:cs="Times New Roman"/>
                <w:sz w:val="24"/>
                <w:szCs w:val="24"/>
              </w:rPr>
              <w:t>нала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F613EB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2 594,64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94" w:type="dxa"/>
            <w:vAlign w:val="center"/>
          </w:tcPr>
          <w:p w:rsidR="00357A64" w:rsidRPr="006D1664" w:rsidRDefault="001A3845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основного производстве</w:t>
            </w: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ного персонала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F613EB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526,10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94" w:type="dxa"/>
            <w:vAlign w:val="center"/>
          </w:tcPr>
          <w:p w:rsidR="00357A64" w:rsidRPr="006D1664" w:rsidRDefault="001A3845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D94DB2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15 363,67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94" w:type="dxa"/>
            <w:vAlign w:val="center"/>
          </w:tcPr>
          <w:p w:rsidR="00F144ED" w:rsidRPr="006D1664" w:rsidRDefault="001A3845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 xml:space="preserve">аренда имущества, используемого в технологическом </w:t>
            </w:r>
          </w:p>
          <w:p w:rsidR="00357A64" w:rsidRPr="006D1664" w:rsidRDefault="001A3845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09652B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1 996,70</w:t>
            </w:r>
          </w:p>
        </w:tc>
      </w:tr>
      <w:tr w:rsidR="004966FF" w:rsidRPr="006D1664" w:rsidTr="006D1664">
        <w:tc>
          <w:tcPr>
            <w:tcW w:w="801" w:type="dxa"/>
            <w:vAlign w:val="center"/>
          </w:tcPr>
          <w:p w:rsidR="004966FF" w:rsidRPr="006D1664" w:rsidRDefault="004966FF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94" w:type="dxa"/>
            <w:vAlign w:val="center"/>
          </w:tcPr>
          <w:p w:rsidR="004966FF" w:rsidRPr="006D1664" w:rsidRDefault="004966FF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в технологическом процессе</w:t>
            </w:r>
          </w:p>
        </w:tc>
        <w:tc>
          <w:tcPr>
            <w:tcW w:w="1292" w:type="dxa"/>
            <w:vAlign w:val="center"/>
          </w:tcPr>
          <w:p w:rsidR="004966FF" w:rsidRPr="006D1664" w:rsidRDefault="004966FF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4966FF" w:rsidRPr="006D1664" w:rsidRDefault="00F613EB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1 489,20</w:t>
            </w:r>
          </w:p>
        </w:tc>
      </w:tr>
      <w:tr w:rsidR="00A21CE9" w:rsidRPr="006D1664" w:rsidTr="006D1664">
        <w:tc>
          <w:tcPr>
            <w:tcW w:w="801" w:type="dxa"/>
            <w:vAlign w:val="center"/>
          </w:tcPr>
          <w:p w:rsidR="00A21CE9" w:rsidRPr="006D1664" w:rsidRDefault="00B80F03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94" w:type="dxa"/>
            <w:vAlign w:val="center"/>
          </w:tcPr>
          <w:p w:rsidR="00A21CE9" w:rsidRPr="006D1664" w:rsidRDefault="00A21CE9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ГСМ на технологические нужды</w:t>
            </w:r>
          </w:p>
        </w:tc>
        <w:tc>
          <w:tcPr>
            <w:tcW w:w="1292" w:type="dxa"/>
            <w:vAlign w:val="center"/>
          </w:tcPr>
          <w:p w:rsidR="00A21CE9" w:rsidRPr="006D1664" w:rsidRDefault="00A21CE9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A21CE9" w:rsidRPr="006D1664" w:rsidRDefault="00A21CE9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3 665,70</w:t>
            </w:r>
          </w:p>
        </w:tc>
      </w:tr>
      <w:tr w:rsidR="00A21CE9" w:rsidRPr="006D1664" w:rsidTr="006D1664">
        <w:tc>
          <w:tcPr>
            <w:tcW w:w="801" w:type="dxa"/>
            <w:vAlign w:val="center"/>
          </w:tcPr>
          <w:p w:rsidR="00A21CE9" w:rsidRPr="006D1664" w:rsidRDefault="00B80F03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94" w:type="dxa"/>
            <w:vAlign w:val="center"/>
          </w:tcPr>
          <w:p w:rsidR="00A21CE9" w:rsidRPr="006D1664" w:rsidRDefault="00A21CE9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92" w:type="dxa"/>
          </w:tcPr>
          <w:p w:rsidR="00A21CE9" w:rsidRDefault="00A21CE9"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A21CE9" w:rsidRPr="006D1664" w:rsidRDefault="00A21CE9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264,97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0F03" w:rsidRPr="006D1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4" w:type="dxa"/>
            <w:vAlign w:val="center"/>
          </w:tcPr>
          <w:p w:rsidR="00357A64" w:rsidRPr="006D1664" w:rsidRDefault="001A3845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(цеховые) расходы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2A4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0F03" w:rsidRPr="006D1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4" w:type="dxa"/>
            <w:vAlign w:val="center"/>
          </w:tcPr>
          <w:p w:rsidR="00357A64" w:rsidRPr="006D1664" w:rsidRDefault="001A3845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общехозяйственные (управленческие) расходы</w:t>
            </w:r>
            <w:r w:rsidR="0072763F" w:rsidRPr="006D166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5D15B5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4 179,30</w:t>
            </w:r>
          </w:p>
        </w:tc>
      </w:tr>
      <w:tr w:rsidR="0072763F" w:rsidRPr="006D1664" w:rsidTr="006D1664">
        <w:tc>
          <w:tcPr>
            <w:tcW w:w="801" w:type="dxa"/>
            <w:vAlign w:val="center"/>
          </w:tcPr>
          <w:p w:rsidR="0072763F" w:rsidRPr="006D1664" w:rsidRDefault="00B80F03" w:rsidP="006D1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664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  <w:r w:rsidR="0072763F" w:rsidRPr="006D166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6694" w:type="dxa"/>
            <w:vAlign w:val="center"/>
          </w:tcPr>
          <w:p w:rsidR="0072763F" w:rsidRPr="006D1664" w:rsidRDefault="0072763F" w:rsidP="00AF2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64">
              <w:rPr>
                <w:rFonts w:ascii="Times New Roman" w:hAnsi="Times New Roman" w:cs="Times New Roman"/>
                <w:sz w:val="16"/>
                <w:szCs w:val="16"/>
              </w:rPr>
              <w:t>расходы на оплату труда АУП</w:t>
            </w:r>
          </w:p>
        </w:tc>
        <w:tc>
          <w:tcPr>
            <w:tcW w:w="1292" w:type="dxa"/>
            <w:vAlign w:val="center"/>
          </w:tcPr>
          <w:p w:rsidR="0072763F" w:rsidRPr="006D1664" w:rsidRDefault="0072763F" w:rsidP="006D1664">
            <w:pPr>
              <w:jc w:val="center"/>
              <w:rPr>
                <w:sz w:val="16"/>
                <w:szCs w:val="16"/>
              </w:rPr>
            </w:pPr>
            <w:r w:rsidRPr="006D166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72763F" w:rsidRPr="006D1664" w:rsidRDefault="005D15B5" w:rsidP="006D1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664">
              <w:rPr>
                <w:rFonts w:ascii="Times New Roman" w:hAnsi="Times New Roman" w:cs="Times New Roman"/>
                <w:sz w:val="16"/>
                <w:szCs w:val="16"/>
              </w:rPr>
              <w:t>3 064,53</w:t>
            </w:r>
          </w:p>
        </w:tc>
      </w:tr>
      <w:tr w:rsidR="0072763F" w:rsidRPr="006D1664" w:rsidTr="006D1664">
        <w:tc>
          <w:tcPr>
            <w:tcW w:w="801" w:type="dxa"/>
            <w:vAlign w:val="center"/>
          </w:tcPr>
          <w:p w:rsidR="0072763F" w:rsidRPr="006D1664" w:rsidRDefault="00B80F03" w:rsidP="006D1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664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  <w:r w:rsidR="005D15B5" w:rsidRPr="006D166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6694" w:type="dxa"/>
            <w:vAlign w:val="center"/>
          </w:tcPr>
          <w:p w:rsidR="0072763F" w:rsidRPr="006D1664" w:rsidRDefault="005D15B5" w:rsidP="00AF2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64">
              <w:rPr>
                <w:rFonts w:ascii="Times New Roman" w:hAnsi="Times New Roman" w:cs="Times New Roman"/>
                <w:sz w:val="16"/>
                <w:szCs w:val="16"/>
              </w:rPr>
              <w:t>отчисления от заработной платы АУП</w:t>
            </w:r>
          </w:p>
        </w:tc>
        <w:tc>
          <w:tcPr>
            <w:tcW w:w="1292" w:type="dxa"/>
            <w:vAlign w:val="center"/>
          </w:tcPr>
          <w:p w:rsidR="0072763F" w:rsidRPr="006D1664" w:rsidRDefault="0072763F" w:rsidP="006D1664">
            <w:pPr>
              <w:jc w:val="center"/>
              <w:rPr>
                <w:sz w:val="16"/>
                <w:szCs w:val="16"/>
              </w:rPr>
            </w:pPr>
            <w:r w:rsidRPr="006D166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72763F" w:rsidRPr="006D1664" w:rsidRDefault="005D15B5" w:rsidP="006D1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664">
              <w:rPr>
                <w:rFonts w:ascii="Times New Roman" w:hAnsi="Times New Roman" w:cs="Times New Roman"/>
                <w:sz w:val="16"/>
                <w:szCs w:val="16"/>
              </w:rPr>
              <w:t>446,29</w:t>
            </w:r>
          </w:p>
        </w:tc>
      </w:tr>
      <w:tr w:rsidR="0072763F" w:rsidRPr="006D1664" w:rsidTr="006D1664">
        <w:tc>
          <w:tcPr>
            <w:tcW w:w="801" w:type="dxa"/>
            <w:vAlign w:val="center"/>
          </w:tcPr>
          <w:p w:rsidR="0072763F" w:rsidRPr="006D1664" w:rsidRDefault="00B80F03" w:rsidP="006D1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664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  <w:r w:rsidR="005D15B5" w:rsidRPr="006D1664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6694" w:type="dxa"/>
            <w:vAlign w:val="center"/>
          </w:tcPr>
          <w:p w:rsidR="0072763F" w:rsidRPr="006D1664" w:rsidRDefault="005D15B5" w:rsidP="00AF2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64">
              <w:rPr>
                <w:rFonts w:ascii="Times New Roman" w:hAnsi="Times New Roman" w:cs="Times New Roman"/>
                <w:sz w:val="16"/>
                <w:szCs w:val="16"/>
              </w:rPr>
              <w:t>прочие общехозяйственные расходы</w:t>
            </w:r>
          </w:p>
        </w:tc>
        <w:tc>
          <w:tcPr>
            <w:tcW w:w="1292" w:type="dxa"/>
            <w:vAlign w:val="center"/>
          </w:tcPr>
          <w:p w:rsidR="0072763F" w:rsidRPr="006D1664" w:rsidRDefault="0072763F" w:rsidP="006D1664">
            <w:pPr>
              <w:jc w:val="center"/>
              <w:rPr>
                <w:sz w:val="16"/>
                <w:szCs w:val="16"/>
              </w:rPr>
            </w:pPr>
            <w:r w:rsidRPr="006D166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72763F" w:rsidRPr="006D1664" w:rsidRDefault="005D15B5" w:rsidP="006D1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664">
              <w:rPr>
                <w:rFonts w:ascii="Times New Roman" w:hAnsi="Times New Roman" w:cs="Times New Roman"/>
                <w:sz w:val="16"/>
                <w:szCs w:val="16"/>
              </w:rPr>
              <w:t>668,48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0F03" w:rsidRPr="006D1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4" w:type="dxa"/>
            <w:vAlign w:val="center"/>
          </w:tcPr>
          <w:p w:rsidR="00357A64" w:rsidRPr="006D1664" w:rsidRDefault="00065ABF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расходы на ремонт (капитальный и текущий) основных прои</w:t>
            </w: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водственных средств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2A4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1 154,50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0F03" w:rsidRPr="006D1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4" w:type="dxa"/>
            <w:vAlign w:val="center"/>
          </w:tcPr>
          <w:p w:rsidR="00357A64" w:rsidRPr="006D1664" w:rsidRDefault="00065ABF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расходы на услуги производственного характера, выполня</w:t>
            </w: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мые по договорам с организациями на проведение регламен</w:t>
            </w: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ных работ в рамках технологического процесса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AF6E54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3 277,45</w:t>
            </w:r>
          </w:p>
        </w:tc>
      </w:tr>
      <w:tr w:rsidR="002A4050" w:rsidRPr="006D1664" w:rsidTr="006D1664">
        <w:tc>
          <w:tcPr>
            <w:tcW w:w="801" w:type="dxa"/>
            <w:vAlign w:val="center"/>
          </w:tcPr>
          <w:p w:rsidR="002A4050" w:rsidRPr="006D1664" w:rsidRDefault="002A4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2A4050" w:rsidRPr="006D1664" w:rsidRDefault="002A4050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транспортный налог, платежи в экологический фонд</w:t>
            </w:r>
          </w:p>
        </w:tc>
        <w:tc>
          <w:tcPr>
            <w:tcW w:w="1292" w:type="dxa"/>
          </w:tcPr>
          <w:p w:rsidR="002A4050" w:rsidRPr="006D1664" w:rsidRDefault="002A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2A4050" w:rsidRPr="006D1664" w:rsidRDefault="002A4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9E0079" w:rsidRPr="006D1664" w:rsidTr="006D1664">
        <w:tc>
          <w:tcPr>
            <w:tcW w:w="801" w:type="dxa"/>
            <w:vAlign w:val="center"/>
          </w:tcPr>
          <w:p w:rsidR="009E0079" w:rsidRPr="006D1664" w:rsidRDefault="009E0079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66FF" w:rsidRPr="006D1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F03" w:rsidRPr="006D1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4" w:type="dxa"/>
            <w:vAlign w:val="center"/>
          </w:tcPr>
          <w:p w:rsidR="009E0079" w:rsidRPr="006D1664" w:rsidRDefault="00714DF6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4A48" w:rsidRPr="006D1664">
              <w:rPr>
                <w:rFonts w:ascii="Times New Roman" w:hAnsi="Times New Roman" w:cs="Times New Roman"/>
                <w:sz w:val="24"/>
                <w:szCs w:val="24"/>
              </w:rPr>
              <w:t>алог, уплачиваемый организацией, применяющей упрощё</w:t>
            </w:r>
            <w:r w:rsidR="00FD4A48" w:rsidRPr="006D1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4A48" w:rsidRPr="006D1664">
              <w:rPr>
                <w:rFonts w:ascii="Times New Roman" w:hAnsi="Times New Roman" w:cs="Times New Roman"/>
                <w:sz w:val="24"/>
                <w:szCs w:val="24"/>
              </w:rPr>
              <w:t>ную систему налогообложения</w:t>
            </w:r>
          </w:p>
        </w:tc>
        <w:tc>
          <w:tcPr>
            <w:tcW w:w="1292" w:type="dxa"/>
          </w:tcPr>
          <w:p w:rsidR="009E0079" w:rsidRDefault="009E0079"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9E0079" w:rsidRPr="006D1664" w:rsidRDefault="0072763F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1 060,83</w:t>
            </w:r>
          </w:p>
        </w:tc>
      </w:tr>
      <w:tr w:rsidR="009E0079" w:rsidRPr="006D1664" w:rsidTr="006D1664">
        <w:tc>
          <w:tcPr>
            <w:tcW w:w="801" w:type="dxa"/>
            <w:vAlign w:val="center"/>
          </w:tcPr>
          <w:p w:rsidR="009E0079" w:rsidRPr="006D1664" w:rsidRDefault="009E0079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80F03" w:rsidRPr="006D1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vAlign w:val="center"/>
          </w:tcPr>
          <w:p w:rsidR="009E0079" w:rsidRPr="006D1664" w:rsidRDefault="00714DF6" w:rsidP="00A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6FF" w:rsidRPr="006D1664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r w:rsidR="00356553" w:rsidRPr="006D166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92" w:type="dxa"/>
          </w:tcPr>
          <w:p w:rsidR="009E0079" w:rsidRDefault="009E0079"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9E0079" w:rsidRPr="006D1664" w:rsidRDefault="00AA171B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726" w:rsidRPr="006D1664">
              <w:rPr>
                <w:rFonts w:ascii="Times New Roman" w:hAnsi="Times New Roman" w:cs="Times New Roman"/>
                <w:sz w:val="24"/>
                <w:szCs w:val="24"/>
              </w:rPr>
              <w:t>99,33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94" w:type="dxa"/>
            <w:vAlign w:val="center"/>
          </w:tcPr>
          <w:p w:rsidR="005D15B5" w:rsidRPr="006D1664" w:rsidRDefault="00714DF6" w:rsidP="00714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="00065ABF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ловая прибыль от оказания услуг по регулируемому</w:t>
            </w:r>
          </w:p>
          <w:p w:rsidR="00357A64" w:rsidRPr="006D1664" w:rsidRDefault="00065ABF" w:rsidP="00714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виду деятельности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D67D3D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-1 616,95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94" w:type="dxa"/>
            <w:vAlign w:val="center"/>
          </w:tcPr>
          <w:p w:rsidR="00357A64" w:rsidRPr="006D1664" w:rsidRDefault="00714DF6" w:rsidP="00AF2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065ABF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истая прибыль по регулируемому виду деятельности с указанием размера ее расходования на финансирование мероприятий, предусмотренных инвестиционной пр</w:t>
            </w:r>
            <w:r w:rsidR="00065ABF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65ABF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граммой регулируемой организации, по развитию системы (объектов) утилизации твердых бытовых отходов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2F3E11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94" w:type="dxa"/>
            <w:vAlign w:val="center"/>
          </w:tcPr>
          <w:p w:rsidR="00357A64" w:rsidRPr="006D1664" w:rsidRDefault="00714DF6" w:rsidP="00AF2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065ABF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зменение стоимости основных фондов, в том числе за счет ввода (вывода) из эксплуатации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6" w:type="dxa"/>
            <w:vAlign w:val="center"/>
          </w:tcPr>
          <w:p w:rsidR="00357A64" w:rsidRPr="006D1664" w:rsidRDefault="001E457C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-14 522,06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694" w:type="dxa"/>
            <w:vAlign w:val="center"/>
          </w:tcPr>
          <w:p w:rsidR="00357A64" w:rsidRPr="006D1664" w:rsidRDefault="00714DF6" w:rsidP="00AF2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ub_49"/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65ABF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бъем принятых на утилизацию (захоронение) </w:t>
            </w:r>
            <w:bookmarkEnd w:id="0"/>
            <w:r w:rsidR="00065ABF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твердых бытовых отходов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тыс. куб. м. в год</w:t>
            </w:r>
          </w:p>
        </w:tc>
        <w:tc>
          <w:tcPr>
            <w:tcW w:w="1656" w:type="dxa"/>
            <w:vAlign w:val="center"/>
          </w:tcPr>
          <w:p w:rsidR="00357A64" w:rsidRPr="006D1664" w:rsidRDefault="00660037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421,87</w:t>
            </w:r>
          </w:p>
        </w:tc>
      </w:tr>
      <w:tr w:rsidR="00357A64" w:rsidRPr="006D1664" w:rsidTr="006D1664">
        <w:tc>
          <w:tcPr>
            <w:tcW w:w="801" w:type="dxa"/>
            <w:vAlign w:val="center"/>
          </w:tcPr>
          <w:p w:rsidR="00357A64" w:rsidRPr="006D1664" w:rsidRDefault="00502A4D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94" w:type="dxa"/>
            <w:vAlign w:val="center"/>
          </w:tcPr>
          <w:p w:rsidR="00357A64" w:rsidRPr="006D1664" w:rsidRDefault="00714DF6" w:rsidP="00AF2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065ABF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реднесписочная численность основного производстве</w:t>
            </w:r>
            <w:r w:rsidR="00065ABF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065ABF"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персонала</w:t>
            </w:r>
          </w:p>
        </w:tc>
        <w:tc>
          <w:tcPr>
            <w:tcW w:w="1292" w:type="dxa"/>
            <w:vAlign w:val="center"/>
          </w:tcPr>
          <w:p w:rsidR="00357A64" w:rsidRPr="006D1664" w:rsidRDefault="002B7050" w:rsidP="006D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56" w:type="dxa"/>
            <w:vAlign w:val="center"/>
          </w:tcPr>
          <w:p w:rsidR="00357A64" w:rsidRPr="006D1664" w:rsidRDefault="002F3E11" w:rsidP="006D16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9B14BF" w:rsidRDefault="009B14BF" w:rsidP="009B14BF">
      <w:pPr>
        <w:rPr>
          <w:rFonts w:ascii="Courier New" w:hAnsi="Courier New" w:cs="Courier New"/>
          <w:sz w:val="22"/>
          <w:szCs w:val="22"/>
        </w:rPr>
      </w:pPr>
    </w:p>
    <w:p w:rsidR="00065ABF" w:rsidRDefault="00065ABF" w:rsidP="009B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</w:t>
      </w:r>
      <w:r w:rsidR="009B14BF">
        <w:rPr>
          <w:rFonts w:ascii="Times New Roman" w:hAnsi="Times New Roman" w:cs="Times New Roman"/>
          <w:sz w:val="24"/>
          <w:szCs w:val="24"/>
        </w:rPr>
        <w:t xml:space="preserve"> </w:t>
      </w:r>
      <w:r w:rsidR="00D94DB2">
        <w:rPr>
          <w:rFonts w:ascii="Times New Roman" w:hAnsi="Times New Roman" w:cs="Times New Roman"/>
          <w:sz w:val="24"/>
          <w:szCs w:val="24"/>
        </w:rPr>
        <w:t>ООО «Контракт плюс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5ABF" w:rsidRPr="009B14BF" w:rsidRDefault="00065ABF" w:rsidP="009B14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4DB2">
        <w:rPr>
          <w:rFonts w:ascii="Times New Roman" w:hAnsi="Times New Roman" w:cs="Times New Roman"/>
          <w:sz w:val="16"/>
          <w:szCs w:val="16"/>
        </w:rPr>
        <w:t>по генеральной доверенности № 2 от 09.07.2014</w:t>
      </w:r>
      <w:r>
        <w:rPr>
          <w:rFonts w:ascii="Times New Roman" w:hAnsi="Times New Roman" w:cs="Times New Roman"/>
          <w:sz w:val="16"/>
          <w:szCs w:val="16"/>
        </w:rPr>
        <w:t>)</w:t>
      </w:r>
      <w:r w:rsidR="009B14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94DB2">
        <w:rPr>
          <w:rFonts w:ascii="Times New Roman" w:hAnsi="Times New Roman" w:cs="Times New Roman"/>
          <w:sz w:val="24"/>
          <w:szCs w:val="24"/>
        </w:rPr>
        <w:t>А.Н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4DB2">
        <w:rPr>
          <w:rFonts w:ascii="Times New Roman" w:hAnsi="Times New Roman" w:cs="Times New Roman"/>
          <w:sz w:val="24"/>
          <w:szCs w:val="24"/>
        </w:rPr>
        <w:t>Полежаев</w:t>
      </w:r>
    </w:p>
    <w:sectPr w:rsidR="00065ABF" w:rsidRPr="009B14BF" w:rsidSect="00DA35EE">
      <w:pgSz w:w="11900" w:h="16800"/>
      <w:pgMar w:top="1134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embedSystemFonts/>
  <w:bordersDoNotSurroundHeader/>
  <w:bordersDoNotSurroundFooter/>
  <w:attachedTemplate r:id="rId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B701E"/>
    <w:rsid w:val="00031CFF"/>
    <w:rsid w:val="00065ABF"/>
    <w:rsid w:val="0009652B"/>
    <w:rsid w:val="000A7826"/>
    <w:rsid w:val="0017439E"/>
    <w:rsid w:val="0018774F"/>
    <w:rsid w:val="001A3845"/>
    <w:rsid w:val="001E457C"/>
    <w:rsid w:val="002A4050"/>
    <w:rsid w:val="002B7050"/>
    <w:rsid w:val="002F3E11"/>
    <w:rsid w:val="003120D5"/>
    <w:rsid w:val="00356553"/>
    <w:rsid w:val="00357A64"/>
    <w:rsid w:val="00361726"/>
    <w:rsid w:val="004655F0"/>
    <w:rsid w:val="004966FF"/>
    <w:rsid w:val="00502A4D"/>
    <w:rsid w:val="00506FA6"/>
    <w:rsid w:val="00533A39"/>
    <w:rsid w:val="00577708"/>
    <w:rsid w:val="005D15B5"/>
    <w:rsid w:val="0062022F"/>
    <w:rsid w:val="00660037"/>
    <w:rsid w:val="0068376D"/>
    <w:rsid w:val="006D1664"/>
    <w:rsid w:val="006E5E5A"/>
    <w:rsid w:val="006E79B9"/>
    <w:rsid w:val="00714DF6"/>
    <w:rsid w:val="0072763F"/>
    <w:rsid w:val="0079028A"/>
    <w:rsid w:val="008B701E"/>
    <w:rsid w:val="00997978"/>
    <w:rsid w:val="009B14BF"/>
    <w:rsid w:val="009E0079"/>
    <w:rsid w:val="009E63E9"/>
    <w:rsid w:val="00A043CA"/>
    <w:rsid w:val="00A21CE9"/>
    <w:rsid w:val="00A57DF6"/>
    <w:rsid w:val="00A82D47"/>
    <w:rsid w:val="00A917C1"/>
    <w:rsid w:val="00A920C4"/>
    <w:rsid w:val="00AA0681"/>
    <w:rsid w:val="00AA171B"/>
    <w:rsid w:val="00AF2240"/>
    <w:rsid w:val="00AF6E54"/>
    <w:rsid w:val="00B80F03"/>
    <w:rsid w:val="00BF46C4"/>
    <w:rsid w:val="00C8763A"/>
    <w:rsid w:val="00C93A1E"/>
    <w:rsid w:val="00C94E8A"/>
    <w:rsid w:val="00D67D3D"/>
    <w:rsid w:val="00D94DB2"/>
    <w:rsid w:val="00DA35EE"/>
    <w:rsid w:val="00E3213E"/>
    <w:rsid w:val="00EB7558"/>
    <w:rsid w:val="00EC7B4E"/>
    <w:rsid w:val="00EF6B60"/>
    <w:rsid w:val="00F144ED"/>
    <w:rsid w:val="00F613EB"/>
    <w:rsid w:val="00FD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f">
    <w:name w:val="Table Grid"/>
    <w:basedOn w:val="a1"/>
    <w:uiPriority w:val="99"/>
    <w:rsid w:val="00357A64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.Kurkov\Desktop\&#1057;&#1072;&#1081;&#1090;%20&#1082;&#1086;&#1085;&#1090;&#1088;&#1072;&#1082;&#1090;%20&#1087;&#1083;&#1102;&#1089;\kontrakt_pokazateli_dejatelnosti_za_2014_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kontrakt_pokazateli_dejatelnosti_za_2014_g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ya.Kurkov</dc:creator>
  <dc:description>Документ экспортирован из системы ГАРАНТ</dc:description>
  <cp:lastModifiedBy>ya.Kurkov</cp:lastModifiedBy>
  <cp:revision>1</cp:revision>
  <cp:lastPrinted>2015-04-27T05:27:00Z</cp:lastPrinted>
  <dcterms:created xsi:type="dcterms:W3CDTF">2016-03-18T11:45:00Z</dcterms:created>
  <dcterms:modified xsi:type="dcterms:W3CDTF">2016-03-18T11:45:00Z</dcterms:modified>
</cp:coreProperties>
</file>